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4B0E" w14:textId="77777777" w:rsidR="000C419C" w:rsidRPr="000C419C" w:rsidRDefault="000C419C" w:rsidP="000C419C">
      <w:pPr>
        <w:spacing w:line="240" w:lineRule="auto"/>
        <w:rPr>
          <w:rFonts w:ascii="Arial" w:eastAsia="Times New Roman" w:hAnsi="Arial" w:cs="Arial"/>
          <w:b/>
          <w:bCs/>
          <w:kern w:val="0"/>
          <w:sz w:val="30"/>
          <w:szCs w:val="30"/>
          <w:lang w:eastAsia="nl-NL"/>
          <w14:ligatures w14:val="none"/>
        </w:rPr>
      </w:pPr>
      <w:r w:rsidRPr="0019022A">
        <w:rPr>
          <w:rFonts w:ascii="Arial" w:eastAsia="Times New Roman" w:hAnsi="Arial" w:cs="Arial"/>
          <w:b/>
          <w:bCs/>
          <w:kern w:val="0"/>
          <w:sz w:val="30"/>
          <w:szCs w:val="30"/>
          <w:lang w:val="en-GB" w:eastAsia="nl-NL"/>
          <w14:ligatures w14:val="none"/>
        </w:rPr>
        <w:t>MANIFESTO: THE ALTERNATIVE ECONOMIC FISCAL</w:t>
      </w:r>
      <w:r w:rsidRPr="000C419C">
        <w:rPr>
          <w:rFonts w:ascii="Arial" w:eastAsia="Times New Roman" w:hAnsi="Arial" w:cs="Arial"/>
          <w:b/>
          <w:bCs/>
          <w:kern w:val="0"/>
          <w:sz w:val="30"/>
          <w:szCs w:val="30"/>
          <w:lang w:eastAsia="nl-NL"/>
          <w14:ligatures w14:val="none"/>
        </w:rPr>
        <w:t xml:space="preserve"> FRAMEWORK</w:t>
      </w:r>
    </w:p>
    <w:p w14:paraId="7E89117A"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i/>
          <w:iCs/>
          <w:kern w:val="0"/>
          <w:sz w:val="30"/>
          <w:szCs w:val="30"/>
          <w:lang w:val="en-GB" w:eastAsia="nl-NL"/>
          <w14:ligatures w14:val="none"/>
        </w:rPr>
        <w:t>A Blueprint for a Just, Productive, and Borderless Eurozone Economy</w:t>
      </w:r>
    </w:p>
    <w:p w14:paraId="6B707AC4" w14:textId="7C5A1AD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 xml:space="preserve">This fiscal framework radically dismantles the opaque jungle of traditional tax brackets, subsidies, and fiscal loopholes. It replaces the current bureaucratic regime with a single, unified mathematical model designed to ensure that </w:t>
      </w:r>
      <w:r w:rsidR="00E04FCC" w:rsidRPr="0019022A">
        <w:rPr>
          <w:rFonts w:ascii="Arial" w:eastAsia="Times New Roman" w:hAnsi="Arial" w:cs="Arial"/>
          <w:kern w:val="0"/>
          <w:lang w:val="en-GB" w:eastAsia="nl-NL"/>
          <w14:ligatures w14:val="none"/>
        </w:rPr>
        <w:t>labour</w:t>
      </w:r>
      <w:r w:rsidRPr="0019022A">
        <w:rPr>
          <w:rFonts w:ascii="Arial" w:eastAsia="Times New Roman" w:hAnsi="Arial" w:cs="Arial"/>
          <w:kern w:val="0"/>
          <w:lang w:val="en-GB" w:eastAsia="nl-NL"/>
          <w14:ligatures w14:val="none"/>
        </w:rPr>
        <w:t xml:space="preserve"> remains highly incentivized, productive capital is fully protected, and idle wealth automatically flows back into society.</w:t>
      </w:r>
    </w:p>
    <w:p w14:paraId="55229E5F"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1163C06C">
          <v:rect id="_x0000_i1025" style="width:0;height:1.5pt" o:hralign="center" o:hrstd="t" o:hr="t" fillcolor="#a0a0a0" stroked="f"/>
        </w:pict>
      </w:r>
    </w:p>
    <w:p w14:paraId="2C229561"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kern w:val="0"/>
          <w:sz w:val="30"/>
          <w:szCs w:val="30"/>
          <w:lang w:val="en-GB" w:eastAsia="nl-NL"/>
          <w14:ligatures w14:val="none"/>
        </w:rPr>
        <w:t>PILLAR 1: THE MATHEMATICAL INCOME CURVE</w:t>
      </w:r>
    </w:p>
    <w:p w14:paraId="45C96F2C" w14:textId="7777777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 xml:space="preserve">Instead of arbitrary, politically sensitive tax brackets, taxation scales via a smooth, continuous mathematical curve. This curve consists of two distinct phases, separated by an </w:t>
      </w:r>
      <w:r w:rsidRPr="0019022A">
        <w:rPr>
          <w:rFonts w:ascii="Arial" w:eastAsia="Times New Roman" w:hAnsi="Arial" w:cs="Arial"/>
          <w:b/>
          <w:bCs/>
          <w:kern w:val="0"/>
          <w:lang w:val="en-GB" w:eastAsia="nl-NL"/>
          <w14:ligatures w14:val="none"/>
        </w:rPr>
        <w:t>Inflection Point</w:t>
      </w:r>
      <w:r w:rsidRPr="0019022A">
        <w:rPr>
          <w:rFonts w:ascii="Arial" w:eastAsia="Times New Roman" w:hAnsi="Arial" w:cs="Arial"/>
          <w:kern w:val="0"/>
          <w:lang w:val="en-GB" w:eastAsia="nl-NL"/>
          <w14:ligatures w14:val="none"/>
        </w:rPr>
        <w:t xml:space="preserve"> fixed at €40,000 gross per annum.</w:t>
      </w:r>
    </w:p>
    <w:p w14:paraId="5BBAC905" w14:textId="77777777" w:rsidR="000C419C" w:rsidRPr="0019022A" w:rsidRDefault="000C419C" w:rsidP="000C419C">
      <w:pPr>
        <w:numPr>
          <w:ilvl w:val="0"/>
          <w:numId w:val="1"/>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The Parabolic Phase (Up to €40,000):</w:t>
      </w:r>
      <w:r w:rsidRPr="0019022A">
        <w:rPr>
          <w:rFonts w:ascii="Arial" w:eastAsia="Times New Roman" w:hAnsi="Arial" w:cs="Arial"/>
          <w:kern w:val="0"/>
          <w:lang w:val="en-GB" w:eastAsia="nl-NL"/>
          <w14:ligatures w14:val="none"/>
        </w:rPr>
        <w:t xml:space="preserve"> For low- and middle-income earners, the tax burden rises via a mild, progressive parabola. The lowest income earners pay virtually nothing. Every extra euro earned yields higher net returns. This completely eliminates the 'welfare cliff' and marginal tax shocks caused by the sudden loss of social benefits.</w:t>
      </w:r>
    </w:p>
    <w:p w14:paraId="27BE9D15" w14:textId="77777777" w:rsidR="000C419C" w:rsidRPr="00E04FCC" w:rsidRDefault="000C419C" w:rsidP="000C419C">
      <w:pPr>
        <w:numPr>
          <w:ilvl w:val="0"/>
          <w:numId w:val="1"/>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The Hyperbolic Phase (Above €40,000):</w:t>
      </w:r>
      <w:r w:rsidRPr="0019022A">
        <w:rPr>
          <w:rFonts w:ascii="Arial" w:eastAsia="Times New Roman" w:hAnsi="Arial" w:cs="Arial"/>
          <w:kern w:val="0"/>
          <w:lang w:val="en-GB" w:eastAsia="nl-NL"/>
          <w14:ligatures w14:val="none"/>
        </w:rPr>
        <w:t xml:space="preserve"> As income rises above the inflection point, the tax rate transitions into a hyperbolic curve. This curve mathematically approaches a maximum tax ceiling (the asymptote) but never fully reaches it. Consequently, while top incomes face heavier taxation, earning more </w:t>
      </w:r>
      <w:r w:rsidRPr="0019022A">
        <w:rPr>
          <w:rFonts w:ascii="Arial" w:eastAsia="Times New Roman" w:hAnsi="Arial" w:cs="Arial"/>
          <w:i/>
          <w:iCs/>
          <w:kern w:val="0"/>
          <w:lang w:val="en-GB" w:eastAsia="nl-NL"/>
          <w14:ligatures w14:val="none"/>
        </w:rPr>
        <w:t>always</w:t>
      </w:r>
      <w:r w:rsidRPr="0019022A">
        <w:rPr>
          <w:rFonts w:ascii="Arial" w:eastAsia="Times New Roman" w:hAnsi="Arial" w:cs="Arial"/>
          <w:kern w:val="0"/>
          <w:lang w:val="en-GB" w:eastAsia="nl-NL"/>
          <w14:ligatures w14:val="none"/>
        </w:rPr>
        <w:t xml:space="preserve"> yields higher net returns. </w:t>
      </w:r>
      <w:r w:rsidRPr="000C419C">
        <w:rPr>
          <w:rFonts w:ascii="Arial" w:eastAsia="Times New Roman" w:hAnsi="Arial" w:cs="Arial"/>
          <w:kern w:val="0"/>
          <w:lang w:eastAsia="nl-NL"/>
          <w14:ligatures w14:val="none"/>
        </w:rPr>
        <w:t xml:space="preserve">The incentive </w:t>
      </w:r>
      <w:r w:rsidRPr="00E04FCC">
        <w:rPr>
          <w:rFonts w:ascii="Arial" w:eastAsia="Times New Roman" w:hAnsi="Arial" w:cs="Arial"/>
          <w:kern w:val="0"/>
          <w:lang w:val="en-GB" w:eastAsia="nl-NL"/>
          <w14:ligatures w14:val="none"/>
        </w:rPr>
        <w:t>for economic productivity is fully preserved.</w:t>
      </w:r>
    </w:p>
    <w:p w14:paraId="569D076B"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3AD998BF">
          <v:rect id="_x0000_i1026" style="width:0;height:1.5pt" o:hralign="center" o:hrstd="t" o:hr="t" fillcolor="#a0a0a0" stroked="f"/>
        </w:pict>
      </w:r>
    </w:p>
    <w:p w14:paraId="61327713"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kern w:val="0"/>
          <w:sz w:val="30"/>
          <w:szCs w:val="30"/>
          <w:lang w:val="en-GB" w:eastAsia="nl-NL"/>
          <w14:ligatures w14:val="none"/>
        </w:rPr>
        <w:t>PILLAR 2: THE INCOME-RATIO MULTIPLIER</w:t>
      </w:r>
    </w:p>
    <w:p w14:paraId="680F009F" w14:textId="7777777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 xml:space="preserve">The maximum tax ceiling (the asymptote of the hyperbolic curve) is dynamic rather than fixed. It is indexed directly to the </w:t>
      </w:r>
      <w:r w:rsidRPr="0019022A">
        <w:rPr>
          <w:rFonts w:ascii="Arial" w:eastAsia="Times New Roman" w:hAnsi="Arial" w:cs="Arial"/>
          <w:b/>
          <w:bCs/>
          <w:kern w:val="0"/>
          <w:lang w:val="en-GB" w:eastAsia="nl-NL"/>
          <w14:ligatures w14:val="none"/>
        </w:rPr>
        <w:t>Income-Ratio Multiplier</w:t>
      </w:r>
      <w:r w:rsidRPr="0019022A">
        <w:rPr>
          <w:rFonts w:ascii="Arial" w:eastAsia="Times New Roman" w:hAnsi="Arial" w:cs="Arial"/>
          <w:kern w:val="0"/>
          <w:lang w:val="en-GB" w:eastAsia="nl-NL"/>
          <w14:ligatures w14:val="none"/>
        </w:rPr>
        <w:t xml:space="preserve"> of the corresponding corporate entity or the broader economy. This multiplier measures the ratio between the highest compensation package and the median wage within an organization.</w:t>
      </w:r>
    </w:p>
    <w:p w14:paraId="2297C31B" w14:textId="77777777" w:rsidR="000C419C" w:rsidRPr="0019022A" w:rsidRDefault="000C419C" w:rsidP="000C419C">
      <w:pPr>
        <w:numPr>
          <w:ilvl w:val="0"/>
          <w:numId w:val="2"/>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Social Incentive:</w:t>
      </w:r>
      <w:r w:rsidRPr="0019022A">
        <w:rPr>
          <w:rFonts w:ascii="Arial" w:eastAsia="Times New Roman" w:hAnsi="Arial" w:cs="Arial"/>
          <w:kern w:val="0"/>
          <w:lang w:val="en-GB" w:eastAsia="nl-NL"/>
          <w14:ligatures w14:val="none"/>
        </w:rPr>
        <w:t xml:space="preserve"> If an executive or business owner maintains a fair wage gap (a low ratio), their personal hyperbolic curve flattens at a low maximum rate (e.g., 35%).</w:t>
      </w:r>
    </w:p>
    <w:p w14:paraId="3324B980" w14:textId="5376F4FE" w:rsidR="000C419C" w:rsidRPr="0019022A" w:rsidRDefault="000C419C" w:rsidP="000C419C">
      <w:pPr>
        <w:numPr>
          <w:ilvl w:val="0"/>
          <w:numId w:val="2"/>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Correction Mechanism:</w:t>
      </w:r>
      <w:r w:rsidRPr="0019022A">
        <w:rPr>
          <w:rFonts w:ascii="Arial" w:eastAsia="Times New Roman" w:hAnsi="Arial" w:cs="Arial"/>
          <w:kern w:val="0"/>
          <w:lang w:val="en-GB" w:eastAsia="nl-NL"/>
          <w14:ligatures w14:val="none"/>
        </w:rPr>
        <w:t xml:space="preserve"> If top executives opt for excessive compensation while the workforce falls behind (a high ratio), the </w:t>
      </w:r>
      <w:r w:rsidR="00E04FCC" w:rsidRPr="0019022A">
        <w:rPr>
          <w:rFonts w:ascii="Arial" w:eastAsia="Times New Roman" w:hAnsi="Arial" w:cs="Arial"/>
          <w:kern w:val="0"/>
          <w:lang w:val="en-GB" w:eastAsia="nl-NL"/>
          <w14:ligatures w14:val="none"/>
        </w:rPr>
        <w:t>hyperbole</w:t>
      </w:r>
      <w:r w:rsidRPr="0019022A">
        <w:rPr>
          <w:rFonts w:ascii="Arial" w:eastAsia="Times New Roman" w:hAnsi="Arial" w:cs="Arial"/>
          <w:kern w:val="0"/>
          <w:lang w:val="en-GB" w:eastAsia="nl-NL"/>
          <w14:ligatures w14:val="none"/>
        </w:rPr>
        <w:t xml:space="preserve"> spikes toward the maximum cap (e.g., 70%). The multiplier organically compels corporations to </w:t>
      </w:r>
      <w:r w:rsidRPr="0019022A">
        <w:rPr>
          <w:rFonts w:ascii="Arial" w:eastAsia="Times New Roman" w:hAnsi="Arial" w:cs="Arial"/>
          <w:kern w:val="0"/>
          <w:lang w:val="en-GB" w:eastAsia="nl-NL"/>
          <w14:ligatures w14:val="none"/>
        </w:rPr>
        <w:lastRenderedPageBreak/>
        <w:t>implement equitable profit-sharing, without requiring rigid, state-enforced salary caps.</w:t>
      </w:r>
    </w:p>
    <w:p w14:paraId="22ED4369"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48C5A2FD">
          <v:rect id="_x0000_i1027" style="width:0;height:1.5pt" o:hralign="center" o:hrstd="t" o:hr="t" fillcolor="#a0a0a0" stroked="f"/>
        </w:pict>
      </w:r>
    </w:p>
    <w:p w14:paraId="033FD9CE"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kern w:val="0"/>
          <w:sz w:val="30"/>
          <w:szCs w:val="30"/>
          <w:lang w:val="en-GB" w:eastAsia="nl-NL"/>
          <w14:ligatures w14:val="none"/>
        </w:rPr>
        <w:t>PILLAR 3: THE UNIVERSAL BASIC INCOME</w:t>
      </w:r>
    </w:p>
    <w:p w14:paraId="43937254" w14:textId="7777777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 xml:space="preserve">To guarantee absolute financial security at the foundation of society, every citizen receives an unconditional monthly </w:t>
      </w:r>
      <w:r w:rsidRPr="0019022A">
        <w:rPr>
          <w:rFonts w:ascii="Arial" w:eastAsia="Times New Roman" w:hAnsi="Arial" w:cs="Arial"/>
          <w:b/>
          <w:bCs/>
          <w:kern w:val="0"/>
          <w:lang w:val="en-GB" w:eastAsia="nl-NL"/>
          <w14:ligatures w14:val="none"/>
        </w:rPr>
        <w:t>Universal Basic Income (UBI)</w:t>
      </w:r>
      <w:r w:rsidRPr="0019022A">
        <w:rPr>
          <w:rFonts w:ascii="Arial" w:eastAsia="Times New Roman" w:hAnsi="Arial" w:cs="Arial"/>
          <w:kern w:val="0"/>
          <w:lang w:val="en-GB" w:eastAsia="nl-NL"/>
          <w14:ligatures w14:val="none"/>
        </w:rPr>
        <w:t xml:space="preserve"> (with a baseline value set at €14,400 net per annum).</w:t>
      </w:r>
    </w:p>
    <w:p w14:paraId="0A95C6BB" w14:textId="583B1B6C" w:rsidR="000C419C" w:rsidRPr="0019022A" w:rsidRDefault="000C419C" w:rsidP="000C419C">
      <w:pPr>
        <w:numPr>
          <w:ilvl w:val="0"/>
          <w:numId w:val="3"/>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Fiscal Integration:</w:t>
      </w:r>
      <w:r w:rsidRPr="0019022A">
        <w:rPr>
          <w:rFonts w:ascii="Arial" w:eastAsia="Times New Roman" w:hAnsi="Arial" w:cs="Arial"/>
          <w:kern w:val="0"/>
          <w:lang w:val="en-GB" w:eastAsia="nl-NL"/>
          <w14:ligatures w14:val="none"/>
        </w:rPr>
        <w:t xml:space="preserve"> The basic income is never reduced, clawed back, or means-tested against additional </w:t>
      </w:r>
      <w:r w:rsidR="00E04FCC" w:rsidRPr="0019022A">
        <w:rPr>
          <w:rFonts w:ascii="Arial" w:eastAsia="Times New Roman" w:hAnsi="Arial" w:cs="Arial"/>
          <w:kern w:val="0"/>
          <w:lang w:val="en-GB" w:eastAsia="nl-NL"/>
          <w14:ligatures w14:val="none"/>
        </w:rPr>
        <w:t>labour</w:t>
      </w:r>
      <w:r w:rsidRPr="0019022A">
        <w:rPr>
          <w:rFonts w:ascii="Arial" w:eastAsia="Times New Roman" w:hAnsi="Arial" w:cs="Arial"/>
          <w:kern w:val="0"/>
          <w:lang w:val="en-GB" w:eastAsia="nl-NL"/>
          <w14:ligatures w14:val="none"/>
        </w:rPr>
        <w:t xml:space="preserve"> earnings. It serves as a guaranteed net floor. The mathematical tax curve only begins to calculate liabilities on income earned </w:t>
      </w:r>
      <w:r w:rsidRPr="0019022A">
        <w:rPr>
          <w:rFonts w:ascii="Arial" w:eastAsia="Times New Roman" w:hAnsi="Arial" w:cs="Arial"/>
          <w:i/>
          <w:iCs/>
          <w:kern w:val="0"/>
          <w:lang w:val="en-GB" w:eastAsia="nl-NL"/>
          <w14:ligatures w14:val="none"/>
        </w:rPr>
        <w:t>in addition</w:t>
      </w:r>
      <w:r w:rsidRPr="0019022A">
        <w:rPr>
          <w:rFonts w:ascii="Arial" w:eastAsia="Times New Roman" w:hAnsi="Arial" w:cs="Arial"/>
          <w:kern w:val="0"/>
          <w:lang w:val="en-GB" w:eastAsia="nl-NL"/>
          <w14:ligatures w14:val="none"/>
        </w:rPr>
        <w:t xml:space="preserve"> to this baseline floor.</w:t>
      </w:r>
    </w:p>
    <w:p w14:paraId="2EF59F9E"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610AA850">
          <v:rect id="_x0000_i1028" style="width:0;height:1.5pt" o:hralign="center" o:hrstd="t" o:hr="t" fillcolor="#a0a0a0" stroked="f"/>
        </w:pict>
      </w:r>
    </w:p>
    <w:p w14:paraId="1FF94645"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kern w:val="0"/>
          <w:sz w:val="30"/>
          <w:szCs w:val="30"/>
          <w:lang w:val="en-GB" w:eastAsia="nl-NL"/>
          <w14:ligatures w14:val="none"/>
        </w:rPr>
        <w:t>PILLAR 4: THE CAPITAL ACTIVATION ENGINE (PRODUCTIVE VS. IDLE WEALTH)</w:t>
      </w:r>
    </w:p>
    <w:p w14:paraId="39097EB0" w14:textId="7777777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The framework enforces a strict operational distinction based on the status of wealth. Individuals are fully permitted to accumulate assets, but the economic deployment of those assets dictates their fiscal treatment:</w:t>
      </w:r>
    </w:p>
    <w:p w14:paraId="3C4DF390" w14:textId="77777777" w:rsidR="000C419C" w:rsidRPr="0019022A" w:rsidRDefault="000C419C" w:rsidP="000C419C">
      <w:pPr>
        <w:numPr>
          <w:ilvl w:val="0"/>
          <w:numId w:val="4"/>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Idle Capital:</w:t>
      </w:r>
      <w:r w:rsidRPr="0019022A">
        <w:rPr>
          <w:rFonts w:ascii="Arial" w:eastAsia="Times New Roman" w:hAnsi="Arial" w:cs="Arial"/>
          <w:kern w:val="0"/>
          <w:lang w:val="en-GB" w:eastAsia="nl-NL"/>
          <w14:ligatures w14:val="none"/>
        </w:rPr>
        <w:t xml:space="preserve"> Wealth left unproductively on standard bank accounts or deployed for speculative purposes is classified as stagnant. It is taxed at the source via the hyperbolic income curve, directly funding the social basic income floor.</w:t>
      </w:r>
    </w:p>
    <w:p w14:paraId="1585BC0C" w14:textId="77777777" w:rsidR="000C419C" w:rsidRPr="0019022A" w:rsidRDefault="000C419C" w:rsidP="000C419C">
      <w:pPr>
        <w:numPr>
          <w:ilvl w:val="0"/>
          <w:numId w:val="4"/>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Productive Capital (100% Capital Activation Deduction):</w:t>
      </w:r>
      <w:r w:rsidRPr="0019022A">
        <w:rPr>
          <w:rFonts w:ascii="Arial" w:eastAsia="Times New Roman" w:hAnsi="Arial" w:cs="Arial"/>
          <w:kern w:val="0"/>
          <w:lang w:val="en-GB" w:eastAsia="nl-NL"/>
          <w14:ligatures w14:val="none"/>
        </w:rPr>
        <w:t xml:space="preserve"> Wealth actively deployed to generate tangible value in the real economy is entirely tax-exempt. Capital invested in corporate operations, innovation, job creation, or green transitions can be deducted for 100% from the taxable base. The tax liability on the activated portion falls directly to €0.</w:t>
      </w:r>
    </w:p>
    <w:p w14:paraId="468BDEF1"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70E7EE2F">
          <v:rect id="_x0000_i1029" style="width:0;height:1.5pt" o:hralign="center" o:hrstd="t" o:hr="t" fillcolor="#a0a0a0" stroked="f"/>
        </w:pict>
      </w:r>
    </w:p>
    <w:p w14:paraId="7EF4A16F"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kern w:val="0"/>
          <w:sz w:val="30"/>
          <w:szCs w:val="30"/>
          <w:lang w:val="en-GB" w:eastAsia="nl-NL"/>
          <w14:ligatures w14:val="none"/>
        </w:rPr>
        <w:t>PILLAR 5: EXTRAORDINARY INCOME FROM WEALTH (INHERITANCES AND LOTTERY WINNINGS)</w:t>
      </w:r>
    </w:p>
    <w:p w14:paraId="09E21005" w14:textId="7777777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Traditional inheritance and lottery taxes are completely abolished. Any windfall wealth received is fiscally categorized as extraordinary annual income in the year of receipt. The net fiscal impact is entirely dictated by the choice of the recipient:</w:t>
      </w:r>
    </w:p>
    <w:p w14:paraId="408D4A7C" w14:textId="77777777" w:rsidR="000C419C" w:rsidRPr="0019022A" w:rsidRDefault="000C419C" w:rsidP="000C419C">
      <w:pPr>
        <w:numPr>
          <w:ilvl w:val="0"/>
          <w:numId w:val="5"/>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Immediate Productive Investment:</w:t>
      </w:r>
      <w:r w:rsidRPr="0019022A">
        <w:rPr>
          <w:rFonts w:ascii="Arial" w:eastAsia="Times New Roman" w:hAnsi="Arial" w:cs="Arial"/>
          <w:kern w:val="0"/>
          <w:lang w:val="en-GB" w:eastAsia="nl-NL"/>
          <w14:ligatures w14:val="none"/>
        </w:rPr>
        <w:t xml:space="preserve"> If the funds are directly deployed into a productive societal or economic asset, the Capital Activation Engine applies via the 100% Capital Activation Deduction.</w:t>
      </w:r>
    </w:p>
    <w:p w14:paraId="076F5982" w14:textId="77777777" w:rsidR="000C419C" w:rsidRPr="0019022A" w:rsidRDefault="000C419C" w:rsidP="000C419C">
      <w:pPr>
        <w:numPr>
          <w:ilvl w:val="1"/>
          <w:numId w:val="5"/>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i/>
          <w:iCs/>
          <w:kern w:val="0"/>
          <w:lang w:val="en-GB" w:eastAsia="nl-NL"/>
          <w14:ligatures w14:val="none"/>
        </w:rPr>
        <w:lastRenderedPageBreak/>
        <w:t>Primary Residence:</w:t>
      </w:r>
      <w:r w:rsidRPr="0019022A">
        <w:rPr>
          <w:rFonts w:ascii="Arial" w:eastAsia="Times New Roman" w:hAnsi="Arial" w:cs="Arial"/>
          <w:kern w:val="0"/>
          <w:lang w:val="en-GB" w:eastAsia="nl-NL"/>
          <w14:ligatures w14:val="none"/>
        </w:rPr>
        <w:t xml:space="preserve"> The funds are used to purchase or clear the mortgage of a </w:t>
      </w:r>
      <w:r w:rsidRPr="0019022A">
        <w:rPr>
          <w:rFonts w:ascii="Arial" w:eastAsia="Times New Roman" w:hAnsi="Arial" w:cs="Arial"/>
          <w:b/>
          <w:bCs/>
          <w:kern w:val="0"/>
          <w:lang w:val="en-GB" w:eastAsia="nl-NL"/>
          <w14:ligatures w14:val="none"/>
        </w:rPr>
        <w:t>first primary residence</w:t>
      </w:r>
      <w:r w:rsidRPr="0019022A">
        <w:rPr>
          <w:rFonts w:ascii="Arial" w:eastAsia="Times New Roman" w:hAnsi="Arial" w:cs="Arial"/>
          <w:kern w:val="0"/>
          <w:lang w:val="en-GB" w:eastAsia="nl-NL"/>
          <w14:ligatures w14:val="none"/>
        </w:rPr>
        <w:t xml:space="preserve"> (owner-occupied). This stimulates homeownership and relieves pressure on the rental market. Speculation and landlord exploitation are strictly prevented; purchasing secondary properties or engaging in rapid flipping triggers a retrospective reversal of the deduction (clawback clause).</w:t>
      </w:r>
    </w:p>
    <w:p w14:paraId="55C97743" w14:textId="77777777" w:rsidR="000C419C" w:rsidRPr="0019022A" w:rsidRDefault="000C419C" w:rsidP="000C419C">
      <w:pPr>
        <w:numPr>
          <w:ilvl w:val="1"/>
          <w:numId w:val="5"/>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i/>
          <w:iCs/>
          <w:kern w:val="0"/>
          <w:lang w:val="en-GB" w:eastAsia="nl-NL"/>
          <w14:ligatures w14:val="none"/>
        </w:rPr>
        <w:t>Corporate Equity:</w:t>
      </w:r>
      <w:r w:rsidRPr="0019022A">
        <w:rPr>
          <w:rFonts w:ascii="Arial" w:eastAsia="Times New Roman" w:hAnsi="Arial" w:cs="Arial"/>
          <w:kern w:val="0"/>
          <w:lang w:val="en-GB" w:eastAsia="nl-NL"/>
          <w14:ligatures w14:val="none"/>
        </w:rPr>
        <w:t xml:space="preserve"> The funds are injected as operational capital or shares into an enterprise to sustain employment and innovation. The continuity of family-owned and local businesses is fully protected; businesses never face forced liquidation or sale merely to satisfy an inheritance tax liability.</w:t>
      </w:r>
    </w:p>
    <w:p w14:paraId="2CF13788" w14:textId="77777777" w:rsidR="000C419C" w:rsidRPr="0019022A" w:rsidRDefault="000C419C" w:rsidP="000C419C">
      <w:pPr>
        <w:numPr>
          <w:ilvl w:val="0"/>
          <w:numId w:val="5"/>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Immediate Stagnation:</w:t>
      </w:r>
      <w:r w:rsidRPr="0019022A">
        <w:rPr>
          <w:rFonts w:ascii="Arial" w:eastAsia="Times New Roman" w:hAnsi="Arial" w:cs="Arial"/>
          <w:kern w:val="0"/>
          <w:lang w:val="en-GB" w:eastAsia="nl-NL"/>
          <w14:ligatures w14:val="none"/>
        </w:rPr>
        <w:t xml:space="preserve"> If the recipient deposits the windfall into a regular bank account, it is treated as idle capital and heavily capped via the hyperbolic curve.</w:t>
      </w:r>
    </w:p>
    <w:p w14:paraId="3CEC2F5A"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0CA97B36">
          <v:rect id="_x0000_i1030" style="width:0;height:1.5pt" o:hralign="center" o:hrstd="t" o:hr="t" fillcolor="#a0a0a0" stroked="f"/>
        </w:pict>
      </w:r>
    </w:p>
    <w:p w14:paraId="4BE16C75"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kern w:val="0"/>
          <w:sz w:val="30"/>
          <w:szCs w:val="30"/>
          <w:lang w:val="en-GB" w:eastAsia="nl-NL"/>
          <w14:ligatures w14:val="none"/>
        </w:rPr>
        <w:t>PILLAR 6: THE 5-YEAR GRACE PERIOD (ROLL-OR-CAP ARCHITECTURE)</w:t>
      </w:r>
    </w:p>
    <w:p w14:paraId="220A9966" w14:textId="7777777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 xml:space="preserve">To provide citizens with ample peace of mind to make well-considered financial and societal choices, the framework introduces a generous, highly flexible </w:t>
      </w:r>
      <w:r w:rsidRPr="0019022A">
        <w:rPr>
          <w:rFonts w:ascii="Arial" w:eastAsia="Times New Roman" w:hAnsi="Arial" w:cs="Arial"/>
          <w:b/>
          <w:bCs/>
          <w:kern w:val="0"/>
          <w:lang w:val="en-GB" w:eastAsia="nl-NL"/>
          <w14:ligatures w14:val="none"/>
        </w:rPr>
        <w:t>5-year grace period</w:t>
      </w:r>
      <w:r w:rsidRPr="0019022A">
        <w:rPr>
          <w:rFonts w:ascii="Arial" w:eastAsia="Times New Roman" w:hAnsi="Arial" w:cs="Arial"/>
          <w:kern w:val="0"/>
          <w:lang w:val="en-GB" w:eastAsia="nl-NL"/>
          <w14:ligatures w14:val="none"/>
        </w:rPr>
        <w:t>.</w:t>
      </w:r>
    </w:p>
    <w:p w14:paraId="0BABB02E" w14:textId="77777777" w:rsidR="000C419C" w:rsidRPr="0019022A" w:rsidRDefault="000C419C" w:rsidP="000C419C">
      <w:pPr>
        <w:numPr>
          <w:ilvl w:val="0"/>
          <w:numId w:val="6"/>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Fiscal Shelter (Years 1 to 3):</w:t>
      </w:r>
      <w:r w:rsidRPr="0019022A">
        <w:rPr>
          <w:rFonts w:ascii="Arial" w:eastAsia="Times New Roman" w:hAnsi="Arial" w:cs="Arial"/>
          <w:kern w:val="0"/>
          <w:lang w:val="en-GB" w:eastAsia="nl-NL"/>
          <w14:ligatures w14:val="none"/>
        </w:rPr>
        <w:t xml:space="preserve"> Upon receipt, the windfall can be temporarily parked in a dedicated, protected </w:t>
      </w:r>
      <w:r w:rsidRPr="0019022A">
        <w:rPr>
          <w:rFonts w:ascii="Arial" w:eastAsia="Times New Roman" w:hAnsi="Arial" w:cs="Arial"/>
          <w:b/>
          <w:bCs/>
          <w:kern w:val="0"/>
          <w:lang w:val="en-GB" w:eastAsia="nl-NL"/>
          <w14:ligatures w14:val="none"/>
        </w:rPr>
        <w:t>Investment-Savings Account</w:t>
      </w:r>
      <w:r w:rsidRPr="0019022A">
        <w:rPr>
          <w:rFonts w:ascii="Arial" w:eastAsia="Times New Roman" w:hAnsi="Arial" w:cs="Arial"/>
          <w:kern w:val="0"/>
          <w:lang w:val="en-GB" w:eastAsia="nl-NL"/>
          <w14:ligatures w14:val="none"/>
        </w:rPr>
        <w:t>. During these initial three years, the recipient enjoys full fiscal immunity and retains the right to a 100% tax deduction as soon as the capital is activated in real estate or entrepreneurship.</w:t>
      </w:r>
    </w:p>
    <w:p w14:paraId="54928B2F" w14:textId="77777777" w:rsidR="000C419C" w:rsidRPr="0019022A" w:rsidRDefault="000C419C" w:rsidP="000C419C">
      <w:pPr>
        <w:numPr>
          <w:ilvl w:val="0"/>
          <w:numId w:val="6"/>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The Activation Phase (Years 4 and 5):</w:t>
      </w:r>
      <w:r w:rsidRPr="0019022A">
        <w:rPr>
          <w:rFonts w:ascii="Arial" w:eastAsia="Times New Roman" w:hAnsi="Arial" w:cs="Arial"/>
          <w:kern w:val="0"/>
          <w:lang w:val="en-GB" w:eastAsia="nl-NL"/>
          <w14:ligatures w14:val="none"/>
        </w:rPr>
        <w:t xml:space="preserve"> If the capital remains unspent after three years, the core deduction claim for future investments remains valid, but the state levies a mild 'activation fee' (e.g., 2% per annum) on the stagnant balance to incentivize deployment.</w:t>
      </w:r>
    </w:p>
    <w:p w14:paraId="14F265F0" w14:textId="77777777" w:rsidR="000C419C" w:rsidRPr="0019022A" w:rsidRDefault="000C419C" w:rsidP="000C419C">
      <w:pPr>
        <w:numPr>
          <w:ilvl w:val="0"/>
          <w:numId w:val="6"/>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The Hard Deadline (Year 6 Onward):</w:t>
      </w:r>
      <w:r w:rsidRPr="0019022A">
        <w:rPr>
          <w:rFonts w:ascii="Arial" w:eastAsia="Times New Roman" w:hAnsi="Arial" w:cs="Arial"/>
          <w:kern w:val="0"/>
          <w:lang w:val="en-GB" w:eastAsia="nl-NL"/>
          <w14:ligatures w14:val="none"/>
        </w:rPr>
        <w:t xml:space="preserve"> Once the 5-year window expires without a verified productive investment, the account loses its protected status permanently, and the remaining balance is subjected to full hyperbolic taxation.</w:t>
      </w:r>
    </w:p>
    <w:p w14:paraId="323D7630"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5CE87D17">
          <v:rect id="_x0000_i1031" style="width:0;height:1.5pt" o:hralign="center" o:hrstd="t" o:hr="t" fillcolor="#a0a0a0" stroked="f"/>
        </w:pict>
      </w:r>
    </w:p>
    <w:p w14:paraId="7AEBECA5"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kern w:val="0"/>
          <w:sz w:val="30"/>
          <w:szCs w:val="30"/>
          <w:lang w:val="en-GB" w:eastAsia="nl-NL"/>
          <w14:ligatures w14:val="none"/>
        </w:rPr>
        <w:t>PILLAR 7: THE GRADUAL ACTIVATION OPTION</w:t>
      </w:r>
    </w:p>
    <w:p w14:paraId="47E274A5" w14:textId="7777777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 xml:space="preserve">During the 5-year grace period, citizens are not forced to deploy the windfall as a single lump-sum into real estate or businesses. They hold the legal right to withdraw the sheltered capital </w:t>
      </w:r>
      <w:r w:rsidRPr="0019022A">
        <w:rPr>
          <w:rFonts w:ascii="Arial" w:eastAsia="Times New Roman" w:hAnsi="Arial" w:cs="Arial"/>
          <w:b/>
          <w:bCs/>
          <w:kern w:val="0"/>
          <w:lang w:val="en-GB" w:eastAsia="nl-NL"/>
          <w14:ligatures w14:val="none"/>
        </w:rPr>
        <w:t>in gradual increments</w:t>
      </w:r>
      <w:r w:rsidRPr="0019022A">
        <w:rPr>
          <w:rFonts w:ascii="Arial" w:eastAsia="Times New Roman" w:hAnsi="Arial" w:cs="Arial"/>
          <w:kern w:val="0"/>
          <w:lang w:val="en-GB" w:eastAsia="nl-NL"/>
          <w14:ligatures w14:val="none"/>
        </w:rPr>
        <w:t>.</w:t>
      </w:r>
    </w:p>
    <w:p w14:paraId="55A1BDC6" w14:textId="3256A649" w:rsidR="000C419C" w:rsidRPr="0019022A" w:rsidRDefault="000C419C" w:rsidP="000C419C">
      <w:pPr>
        <w:numPr>
          <w:ilvl w:val="0"/>
          <w:numId w:val="7"/>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Tax Smoothing:</w:t>
      </w:r>
      <w:r w:rsidRPr="0019022A">
        <w:rPr>
          <w:rFonts w:ascii="Arial" w:eastAsia="Times New Roman" w:hAnsi="Arial" w:cs="Arial"/>
          <w:kern w:val="0"/>
          <w:lang w:val="en-GB" w:eastAsia="nl-NL"/>
          <w14:ligatures w14:val="none"/>
        </w:rPr>
        <w:t xml:space="preserve"> Each withdrawn portion is added to the recipient's standard </w:t>
      </w:r>
      <w:r w:rsidR="00E04FCC" w:rsidRPr="0019022A">
        <w:rPr>
          <w:rFonts w:ascii="Arial" w:eastAsia="Times New Roman" w:hAnsi="Arial" w:cs="Arial"/>
          <w:kern w:val="0"/>
          <w:lang w:val="en-GB" w:eastAsia="nl-NL"/>
          <w14:ligatures w14:val="none"/>
        </w:rPr>
        <w:t>labour</w:t>
      </w:r>
      <w:r w:rsidRPr="0019022A">
        <w:rPr>
          <w:rFonts w:ascii="Arial" w:eastAsia="Times New Roman" w:hAnsi="Arial" w:cs="Arial"/>
          <w:kern w:val="0"/>
          <w:lang w:val="en-GB" w:eastAsia="nl-NL"/>
          <w14:ligatures w14:val="none"/>
        </w:rPr>
        <w:t xml:space="preserve"> income curve for that specific fiscal year. This allows citizens to </w:t>
      </w:r>
      <w:r w:rsidRPr="0019022A">
        <w:rPr>
          <w:rFonts w:ascii="Arial" w:eastAsia="Times New Roman" w:hAnsi="Arial" w:cs="Arial"/>
          <w:kern w:val="0"/>
          <w:lang w:val="en-GB" w:eastAsia="nl-NL"/>
          <w14:ligatures w14:val="none"/>
        </w:rPr>
        <w:lastRenderedPageBreak/>
        <w:t>intelligently smooth their tax liabilities over multiple years, keeping the increments below or near the €40,000 inflection point.</w:t>
      </w:r>
    </w:p>
    <w:p w14:paraId="38FA3AFC" w14:textId="77777777" w:rsidR="000C419C" w:rsidRPr="0019022A" w:rsidRDefault="000C419C" w:rsidP="000C419C">
      <w:pPr>
        <w:numPr>
          <w:ilvl w:val="0"/>
          <w:numId w:val="7"/>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Fully Liquid Cash:</w:t>
      </w:r>
      <w:r w:rsidRPr="0019022A">
        <w:rPr>
          <w:rFonts w:ascii="Arial" w:eastAsia="Times New Roman" w:hAnsi="Arial" w:cs="Arial"/>
          <w:kern w:val="0"/>
          <w:lang w:val="en-GB" w:eastAsia="nl-NL"/>
          <w14:ligatures w14:val="none"/>
        </w:rPr>
        <w:t xml:space="preserve"> The portion withdrawn through this gradual route and processed via the income curve transforms into </w:t>
      </w:r>
      <w:r w:rsidRPr="0019022A">
        <w:rPr>
          <w:rFonts w:ascii="Arial" w:eastAsia="Times New Roman" w:hAnsi="Arial" w:cs="Arial"/>
          <w:b/>
          <w:bCs/>
          <w:kern w:val="0"/>
          <w:lang w:val="en-GB" w:eastAsia="nl-NL"/>
          <w14:ligatures w14:val="none"/>
        </w:rPr>
        <w:t>fully liquid, spendable cash</w:t>
      </w:r>
      <w:r w:rsidRPr="0019022A">
        <w:rPr>
          <w:rFonts w:ascii="Arial" w:eastAsia="Times New Roman" w:hAnsi="Arial" w:cs="Arial"/>
          <w:kern w:val="0"/>
          <w:lang w:val="en-GB" w:eastAsia="nl-NL"/>
          <w14:ligatures w14:val="none"/>
        </w:rPr>
        <w:t>. The reinvestment obligation on this specific fraction is permanently waived; the citizen is free to consume, spend, or utilize it for daily living expenses as they see fit.</w:t>
      </w:r>
    </w:p>
    <w:p w14:paraId="72B59828"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5E13B737">
          <v:rect id="_x0000_i1032" style="width:0;height:1.5pt" o:hralign="center" o:hrstd="t" o:hr="t" fillcolor="#a0a0a0" stroked="f"/>
        </w:pict>
      </w:r>
    </w:p>
    <w:p w14:paraId="3B9B22BA"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kern w:val="0"/>
          <w:sz w:val="30"/>
          <w:szCs w:val="30"/>
          <w:lang w:val="en-GB" w:eastAsia="nl-NL"/>
          <w14:ligatures w14:val="none"/>
        </w:rPr>
        <w:t>PILLAR 8: THE EUROZONE FISCAL UNION &amp; THE EURO-UBI</w:t>
      </w:r>
    </w:p>
    <w:p w14:paraId="49901E80" w14:textId="7777777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To prevent cross-border tax flight and forge a highly stable economic bloc, this framework is anchored directly at the level of the entire Eurozone.</w:t>
      </w:r>
    </w:p>
    <w:p w14:paraId="38EEE1AD" w14:textId="77777777" w:rsidR="000C419C" w:rsidRPr="0019022A" w:rsidRDefault="000C419C" w:rsidP="000C419C">
      <w:pPr>
        <w:numPr>
          <w:ilvl w:val="0"/>
          <w:numId w:val="8"/>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Borderless Harmonization:</w:t>
      </w:r>
      <w:r w:rsidRPr="0019022A">
        <w:rPr>
          <w:rFonts w:ascii="Arial" w:eastAsia="Times New Roman" w:hAnsi="Arial" w:cs="Arial"/>
          <w:kern w:val="0"/>
          <w:lang w:val="en-GB" w:eastAsia="nl-NL"/>
          <w14:ligatures w14:val="none"/>
        </w:rPr>
        <w:t xml:space="preserve"> The mathematical income curve and the Income-Ratio Multiplier serve as the universal fiscal standard for all Eurozone member states. Moving wealth within Europe to evade taxes becomes obsolete. The Investment-Savings Account is cross-border; capital can be deployed tax-free anywhere within the Eurozone.</w:t>
      </w:r>
    </w:p>
    <w:p w14:paraId="3F548722" w14:textId="77777777" w:rsidR="000C419C" w:rsidRPr="0019022A" w:rsidRDefault="000C419C" w:rsidP="000C419C">
      <w:pPr>
        <w:numPr>
          <w:ilvl w:val="0"/>
          <w:numId w:val="8"/>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The Euro-UBI with a Cost-of-Living Index:</w:t>
      </w:r>
      <w:r w:rsidRPr="0019022A">
        <w:rPr>
          <w:rFonts w:ascii="Arial" w:eastAsia="Times New Roman" w:hAnsi="Arial" w:cs="Arial"/>
          <w:kern w:val="0"/>
          <w:lang w:val="en-GB" w:eastAsia="nl-NL"/>
          <w14:ligatures w14:val="none"/>
        </w:rPr>
        <w:t xml:space="preserve"> The Universal Basic Income is centrally funded by the Eurozone revenues generated from the hyperbolic taxation of idle capital and multinational excesses. To prevent market distortions and ensure structural equity, the nominal value of the UBI is dynamically indexed to the local cost of living and GDP per capita of each member state. The </w:t>
      </w:r>
      <w:r w:rsidRPr="0019022A">
        <w:rPr>
          <w:rFonts w:ascii="Arial" w:eastAsia="Times New Roman" w:hAnsi="Arial" w:cs="Arial"/>
          <w:b/>
          <w:bCs/>
          <w:kern w:val="0"/>
          <w:lang w:val="en-GB" w:eastAsia="nl-NL"/>
          <w14:ligatures w14:val="none"/>
        </w:rPr>
        <w:t>real purchasing power</w:t>
      </w:r>
      <w:r w:rsidRPr="0019022A">
        <w:rPr>
          <w:rFonts w:ascii="Arial" w:eastAsia="Times New Roman" w:hAnsi="Arial" w:cs="Arial"/>
          <w:kern w:val="0"/>
          <w:lang w:val="en-GB" w:eastAsia="nl-NL"/>
          <w14:ligatures w14:val="none"/>
        </w:rPr>
        <w:t xml:space="preserve"> remains identical for every European citizen, halting economically forced migration within the Union.</w:t>
      </w:r>
    </w:p>
    <w:p w14:paraId="28D102A9" w14:textId="49349714" w:rsidR="000C419C" w:rsidRPr="0019022A" w:rsidRDefault="000C419C" w:rsidP="000C419C">
      <w:pPr>
        <w:numPr>
          <w:ilvl w:val="0"/>
          <w:numId w:val="8"/>
        </w:numPr>
        <w:spacing w:after="0" w:line="240" w:lineRule="auto"/>
        <w:rPr>
          <w:rFonts w:ascii="Arial" w:eastAsia="Times New Roman" w:hAnsi="Arial" w:cs="Arial"/>
          <w:kern w:val="0"/>
          <w:lang w:val="en-GB" w:eastAsia="nl-NL"/>
          <w14:ligatures w14:val="none"/>
        </w:rPr>
      </w:pPr>
      <w:r w:rsidRPr="0019022A">
        <w:rPr>
          <w:rFonts w:ascii="Arial" w:eastAsia="Times New Roman" w:hAnsi="Arial" w:cs="Arial"/>
          <w:b/>
          <w:bCs/>
          <w:kern w:val="0"/>
          <w:lang w:val="en-GB" w:eastAsia="nl-NL"/>
          <w14:ligatures w14:val="none"/>
        </w:rPr>
        <w:t>The European External Border Tariff:</w:t>
      </w:r>
      <w:r w:rsidRPr="0019022A">
        <w:rPr>
          <w:rFonts w:ascii="Arial" w:eastAsia="Times New Roman" w:hAnsi="Arial" w:cs="Arial"/>
          <w:kern w:val="0"/>
          <w:lang w:val="en-GB" w:eastAsia="nl-NL"/>
          <w14:ligatures w14:val="none"/>
        </w:rPr>
        <w:t xml:space="preserve"> Goods and services entering the EU from external markets produced by corporations operating with an excessive wage gap are subject to a corrective border tariff. This safeguards the European internal market and compels foreign entities to elevate their own </w:t>
      </w:r>
      <w:r w:rsidR="00E04FCC" w:rsidRPr="0019022A">
        <w:rPr>
          <w:rFonts w:ascii="Arial" w:eastAsia="Times New Roman" w:hAnsi="Arial" w:cs="Arial"/>
          <w:kern w:val="0"/>
          <w:lang w:val="en-GB" w:eastAsia="nl-NL"/>
          <w14:ligatures w14:val="none"/>
        </w:rPr>
        <w:t>labour</w:t>
      </w:r>
      <w:r w:rsidRPr="0019022A">
        <w:rPr>
          <w:rFonts w:ascii="Arial" w:eastAsia="Times New Roman" w:hAnsi="Arial" w:cs="Arial"/>
          <w:kern w:val="0"/>
          <w:lang w:val="en-GB" w:eastAsia="nl-NL"/>
          <w14:ligatures w14:val="none"/>
        </w:rPr>
        <w:t xml:space="preserve"> compensation if they wish to trade with Europe.</w:t>
      </w:r>
    </w:p>
    <w:p w14:paraId="755FE907"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3568AD58">
          <v:rect id="_x0000_i1033" style="width:0;height:1.5pt" o:hralign="center" o:hrstd="t" o:hr="t" fillcolor="#a0a0a0" stroked="f"/>
        </w:pict>
      </w:r>
    </w:p>
    <w:p w14:paraId="7B7BB75D" w14:textId="77777777" w:rsidR="000C419C" w:rsidRPr="0019022A" w:rsidRDefault="000C419C" w:rsidP="000C419C">
      <w:pPr>
        <w:spacing w:line="240" w:lineRule="auto"/>
        <w:rPr>
          <w:rFonts w:ascii="Arial" w:eastAsia="Times New Roman" w:hAnsi="Arial" w:cs="Arial"/>
          <w:b/>
          <w:bCs/>
          <w:kern w:val="0"/>
          <w:sz w:val="30"/>
          <w:szCs w:val="30"/>
          <w:lang w:val="en-GB" w:eastAsia="nl-NL"/>
          <w14:ligatures w14:val="none"/>
        </w:rPr>
      </w:pPr>
      <w:r w:rsidRPr="0019022A">
        <w:rPr>
          <w:rFonts w:ascii="Arial" w:eastAsia="Times New Roman" w:hAnsi="Arial" w:cs="Arial"/>
          <w:b/>
          <w:bCs/>
          <w:kern w:val="0"/>
          <w:sz w:val="30"/>
          <w:szCs w:val="30"/>
          <w:lang w:val="en-GB" w:eastAsia="nl-NL"/>
          <w14:ligatures w14:val="none"/>
        </w:rPr>
        <w:t>CONCLUSION</w:t>
      </w:r>
    </w:p>
    <w:p w14:paraId="54365482" w14:textId="77777777" w:rsidR="000C419C" w:rsidRPr="0019022A" w:rsidRDefault="000C419C" w:rsidP="000C419C">
      <w:pPr>
        <w:spacing w:line="240" w:lineRule="auto"/>
        <w:rPr>
          <w:rFonts w:ascii="Arial" w:eastAsia="Times New Roman" w:hAnsi="Arial" w:cs="Arial"/>
          <w:kern w:val="0"/>
          <w:lang w:val="en-GB" w:eastAsia="nl-NL"/>
          <w14:ligatures w14:val="none"/>
        </w:rPr>
      </w:pPr>
      <w:r w:rsidRPr="0019022A">
        <w:rPr>
          <w:rFonts w:ascii="Arial" w:eastAsia="Times New Roman" w:hAnsi="Arial" w:cs="Arial"/>
          <w:kern w:val="0"/>
          <w:lang w:val="en-GB" w:eastAsia="nl-NL"/>
          <w14:ligatures w14:val="none"/>
        </w:rPr>
        <w:t xml:space="preserve">This Alternative Economic Fiscal Framework shifts the macroeconomic paradigm from </w:t>
      </w:r>
      <w:r w:rsidRPr="0019022A">
        <w:rPr>
          <w:rFonts w:ascii="Arial" w:eastAsia="Times New Roman" w:hAnsi="Arial" w:cs="Arial"/>
          <w:i/>
          <w:iCs/>
          <w:kern w:val="0"/>
          <w:lang w:val="en-GB" w:eastAsia="nl-NL"/>
          <w14:ligatures w14:val="none"/>
        </w:rPr>
        <w:t>what you own or earn</w:t>
      </w:r>
      <w:r w:rsidRPr="0019022A">
        <w:rPr>
          <w:rFonts w:ascii="Arial" w:eastAsia="Times New Roman" w:hAnsi="Arial" w:cs="Arial"/>
          <w:kern w:val="0"/>
          <w:lang w:val="en-GB" w:eastAsia="nl-NL"/>
          <w14:ligatures w14:val="none"/>
        </w:rPr>
        <w:t xml:space="preserve"> to </w:t>
      </w:r>
      <w:r w:rsidRPr="0019022A">
        <w:rPr>
          <w:rFonts w:ascii="Arial" w:eastAsia="Times New Roman" w:hAnsi="Arial" w:cs="Arial"/>
          <w:i/>
          <w:iCs/>
          <w:kern w:val="0"/>
          <w:lang w:val="en-GB" w:eastAsia="nl-NL"/>
          <w14:ligatures w14:val="none"/>
        </w:rPr>
        <w:t>how effectively you keep money in motion</w:t>
      </w:r>
      <w:r w:rsidRPr="0019022A">
        <w:rPr>
          <w:rFonts w:ascii="Arial" w:eastAsia="Times New Roman" w:hAnsi="Arial" w:cs="Arial"/>
          <w:kern w:val="0"/>
          <w:lang w:val="en-GB" w:eastAsia="nl-NL"/>
          <w14:ligatures w14:val="none"/>
        </w:rPr>
        <w:t>. It grants citizens unmatched human flexibility and protection, while its mathematical machinery permanently dismantles extreme wealth concentration and allows the real economy to flourish.</w:t>
      </w:r>
    </w:p>
    <w:p w14:paraId="4354E474" w14:textId="77777777" w:rsidR="000C419C" w:rsidRPr="000C419C" w:rsidRDefault="00000000" w:rsidP="000C419C">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0BCEE62F">
          <v:rect id="_x0000_i1034" style="width:0;height:1.5pt" o:hralign="center" o:hrstd="t" o:hr="t" fillcolor="#a0a0a0" stroked="f"/>
        </w:pict>
      </w:r>
    </w:p>
    <w:p w14:paraId="31738E43" w14:textId="77777777" w:rsidR="009D55B0" w:rsidRDefault="009D55B0"/>
    <w:sectPr w:rsidR="009D5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24BC"/>
    <w:multiLevelType w:val="multilevel"/>
    <w:tmpl w:val="EFC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D7FE8"/>
    <w:multiLevelType w:val="multilevel"/>
    <w:tmpl w:val="599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64F73"/>
    <w:multiLevelType w:val="multilevel"/>
    <w:tmpl w:val="47F0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456A5"/>
    <w:multiLevelType w:val="multilevel"/>
    <w:tmpl w:val="9A04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2397D"/>
    <w:multiLevelType w:val="multilevel"/>
    <w:tmpl w:val="3A28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A72FD"/>
    <w:multiLevelType w:val="multilevel"/>
    <w:tmpl w:val="56542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74A10"/>
    <w:multiLevelType w:val="multilevel"/>
    <w:tmpl w:val="0D8E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35F4D"/>
    <w:multiLevelType w:val="multilevel"/>
    <w:tmpl w:val="B9F2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490891">
    <w:abstractNumId w:val="2"/>
  </w:num>
  <w:num w:numId="2" w16cid:durableId="679091128">
    <w:abstractNumId w:val="0"/>
  </w:num>
  <w:num w:numId="3" w16cid:durableId="1432822084">
    <w:abstractNumId w:val="7"/>
  </w:num>
  <w:num w:numId="4" w16cid:durableId="544484850">
    <w:abstractNumId w:val="6"/>
  </w:num>
  <w:num w:numId="5" w16cid:durableId="218984041">
    <w:abstractNumId w:val="5"/>
  </w:num>
  <w:num w:numId="6" w16cid:durableId="672688313">
    <w:abstractNumId w:val="4"/>
  </w:num>
  <w:num w:numId="7" w16cid:durableId="1393576438">
    <w:abstractNumId w:val="3"/>
  </w:num>
  <w:num w:numId="8" w16cid:durableId="2083915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9C"/>
    <w:rsid w:val="000C419C"/>
    <w:rsid w:val="0019022A"/>
    <w:rsid w:val="00225701"/>
    <w:rsid w:val="009D55B0"/>
    <w:rsid w:val="00D80986"/>
    <w:rsid w:val="00E04FCC"/>
    <w:rsid w:val="00F30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AEAA"/>
  <w15:chartTrackingRefBased/>
  <w15:docId w15:val="{A9B76003-9F0A-4BC7-9073-0497B406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9C"/>
    <w:rPr>
      <w:rFonts w:eastAsiaTheme="majorEastAsia" w:cstheme="majorBidi"/>
      <w:color w:val="272727" w:themeColor="text1" w:themeTint="D8"/>
    </w:rPr>
  </w:style>
  <w:style w:type="paragraph" w:styleId="Title">
    <w:name w:val="Title"/>
    <w:basedOn w:val="Normal"/>
    <w:next w:val="Normal"/>
    <w:link w:val="TitleChar"/>
    <w:uiPriority w:val="10"/>
    <w:qFormat/>
    <w:rsid w:val="000C4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9C"/>
    <w:pPr>
      <w:spacing w:before="160"/>
      <w:jc w:val="center"/>
    </w:pPr>
    <w:rPr>
      <w:i/>
      <w:iCs/>
      <w:color w:val="404040" w:themeColor="text1" w:themeTint="BF"/>
    </w:rPr>
  </w:style>
  <w:style w:type="character" w:customStyle="1" w:styleId="QuoteChar">
    <w:name w:val="Quote Char"/>
    <w:basedOn w:val="DefaultParagraphFont"/>
    <w:link w:val="Quote"/>
    <w:uiPriority w:val="29"/>
    <w:rsid w:val="000C419C"/>
    <w:rPr>
      <w:i/>
      <w:iCs/>
      <w:color w:val="404040" w:themeColor="text1" w:themeTint="BF"/>
    </w:rPr>
  </w:style>
  <w:style w:type="paragraph" w:styleId="ListParagraph">
    <w:name w:val="List Paragraph"/>
    <w:basedOn w:val="Normal"/>
    <w:uiPriority w:val="34"/>
    <w:qFormat/>
    <w:rsid w:val="000C419C"/>
    <w:pPr>
      <w:ind w:left="720"/>
      <w:contextualSpacing/>
    </w:pPr>
  </w:style>
  <w:style w:type="character" w:styleId="IntenseEmphasis">
    <w:name w:val="Intense Emphasis"/>
    <w:basedOn w:val="DefaultParagraphFont"/>
    <w:uiPriority w:val="21"/>
    <w:qFormat/>
    <w:rsid w:val="000C419C"/>
    <w:rPr>
      <w:i/>
      <w:iCs/>
      <w:color w:val="0F4761" w:themeColor="accent1" w:themeShade="BF"/>
    </w:rPr>
  </w:style>
  <w:style w:type="paragraph" w:styleId="IntenseQuote">
    <w:name w:val="Intense Quote"/>
    <w:basedOn w:val="Normal"/>
    <w:next w:val="Normal"/>
    <w:link w:val="IntenseQuoteChar"/>
    <w:uiPriority w:val="30"/>
    <w:qFormat/>
    <w:rsid w:val="000C4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9C"/>
    <w:rPr>
      <w:i/>
      <w:iCs/>
      <w:color w:val="0F4761" w:themeColor="accent1" w:themeShade="BF"/>
    </w:rPr>
  </w:style>
  <w:style w:type="character" w:styleId="IntenseReference">
    <w:name w:val="Intense Reference"/>
    <w:basedOn w:val="DefaultParagraphFont"/>
    <w:uiPriority w:val="32"/>
    <w:qFormat/>
    <w:rsid w:val="000C4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37772">
      <w:bodyDiv w:val="1"/>
      <w:marLeft w:val="0"/>
      <w:marRight w:val="0"/>
      <w:marTop w:val="0"/>
      <w:marBottom w:val="0"/>
      <w:divBdr>
        <w:top w:val="none" w:sz="0" w:space="0" w:color="auto"/>
        <w:left w:val="none" w:sz="0" w:space="0" w:color="auto"/>
        <w:bottom w:val="none" w:sz="0" w:space="0" w:color="auto"/>
        <w:right w:val="none" w:sz="0" w:space="0" w:color="auto"/>
      </w:divBdr>
      <w:divsChild>
        <w:div w:id="2020768989">
          <w:marLeft w:val="0"/>
          <w:marRight w:val="0"/>
          <w:marTop w:val="360"/>
          <w:marBottom w:val="180"/>
          <w:divBdr>
            <w:top w:val="none" w:sz="0" w:space="0" w:color="auto"/>
            <w:left w:val="none" w:sz="0" w:space="0" w:color="auto"/>
            <w:bottom w:val="none" w:sz="0" w:space="0" w:color="auto"/>
            <w:right w:val="none" w:sz="0" w:space="0" w:color="auto"/>
          </w:divBdr>
        </w:div>
        <w:div w:id="1467964590">
          <w:marLeft w:val="0"/>
          <w:marRight w:val="0"/>
          <w:marTop w:val="360"/>
          <w:marBottom w:val="180"/>
          <w:divBdr>
            <w:top w:val="none" w:sz="0" w:space="0" w:color="auto"/>
            <w:left w:val="none" w:sz="0" w:space="0" w:color="auto"/>
            <w:bottom w:val="none" w:sz="0" w:space="0" w:color="auto"/>
            <w:right w:val="none" w:sz="0" w:space="0" w:color="auto"/>
          </w:divBdr>
        </w:div>
        <w:div w:id="497889565">
          <w:marLeft w:val="0"/>
          <w:marRight w:val="0"/>
          <w:marTop w:val="180"/>
          <w:marBottom w:val="240"/>
          <w:divBdr>
            <w:top w:val="none" w:sz="0" w:space="0" w:color="auto"/>
            <w:left w:val="none" w:sz="0" w:space="0" w:color="auto"/>
            <w:bottom w:val="none" w:sz="0" w:space="0" w:color="auto"/>
            <w:right w:val="none" w:sz="0" w:space="0" w:color="auto"/>
          </w:divBdr>
        </w:div>
        <w:div w:id="934632283">
          <w:marLeft w:val="0"/>
          <w:marRight w:val="0"/>
          <w:marTop w:val="360"/>
          <w:marBottom w:val="180"/>
          <w:divBdr>
            <w:top w:val="none" w:sz="0" w:space="0" w:color="auto"/>
            <w:left w:val="none" w:sz="0" w:space="0" w:color="auto"/>
            <w:bottom w:val="none" w:sz="0" w:space="0" w:color="auto"/>
            <w:right w:val="none" w:sz="0" w:space="0" w:color="auto"/>
          </w:divBdr>
        </w:div>
        <w:div w:id="1284531221">
          <w:marLeft w:val="0"/>
          <w:marRight w:val="0"/>
          <w:marTop w:val="180"/>
          <w:marBottom w:val="240"/>
          <w:divBdr>
            <w:top w:val="none" w:sz="0" w:space="0" w:color="auto"/>
            <w:left w:val="none" w:sz="0" w:space="0" w:color="auto"/>
            <w:bottom w:val="none" w:sz="0" w:space="0" w:color="auto"/>
            <w:right w:val="none" w:sz="0" w:space="0" w:color="auto"/>
          </w:divBdr>
        </w:div>
        <w:div w:id="1241063310">
          <w:marLeft w:val="0"/>
          <w:marRight w:val="0"/>
          <w:marTop w:val="360"/>
          <w:marBottom w:val="180"/>
          <w:divBdr>
            <w:top w:val="none" w:sz="0" w:space="0" w:color="auto"/>
            <w:left w:val="none" w:sz="0" w:space="0" w:color="auto"/>
            <w:bottom w:val="none" w:sz="0" w:space="0" w:color="auto"/>
            <w:right w:val="none" w:sz="0" w:space="0" w:color="auto"/>
          </w:divBdr>
        </w:div>
        <w:div w:id="629551912">
          <w:marLeft w:val="0"/>
          <w:marRight w:val="0"/>
          <w:marTop w:val="180"/>
          <w:marBottom w:val="240"/>
          <w:divBdr>
            <w:top w:val="none" w:sz="0" w:space="0" w:color="auto"/>
            <w:left w:val="none" w:sz="0" w:space="0" w:color="auto"/>
            <w:bottom w:val="none" w:sz="0" w:space="0" w:color="auto"/>
            <w:right w:val="none" w:sz="0" w:space="0" w:color="auto"/>
          </w:divBdr>
        </w:div>
        <w:div w:id="97681124">
          <w:marLeft w:val="0"/>
          <w:marRight w:val="0"/>
          <w:marTop w:val="360"/>
          <w:marBottom w:val="180"/>
          <w:divBdr>
            <w:top w:val="none" w:sz="0" w:space="0" w:color="auto"/>
            <w:left w:val="none" w:sz="0" w:space="0" w:color="auto"/>
            <w:bottom w:val="none" w:sz="0" w:space="0" w:color="auto"/>
            <w:right w:val="none" w:sz="0" w:space="0" w:color="auto"/>
          </w:divBdr>
        </w:div>
        <w:div w:id="694188240">
          <w:marLeft w:val="0"/>
          <w:marRight w:val="0"/>
          <w:marTop w:val="180"/>
          <w:marBottom w:val="240"/>
          <w:divBdr>
            <w:top w:val="none" w:sz="0" w:space="0" w:color="auto"/>
            <w:left w:val="none" w:sz="0" w:space="0" w:color="auto"/>
            <w:bottom w:val="none" w:sz="0" w:space="0" w:color="auto"/>
            <w:right w:val="none" w:sz="0" w:space="0" w:color="auto"/>
          </w:divBdr>
        </w:div>
        <w:div w:id="1625885647">
          <w:marLeft w:val="0"/>
          <w:marRight w:val="0"/>
          <w:marTop w:val="360"/>
          <w:marBottom w:val="180"/>
          <w:divBdr>
            <w:top w:val="none" w:sz="0" w:space="0" w:color="auto"/>
            <w:left w:val="none" w:sz="0" w:space="0" w:color="auto"/>
            <w:bottom w:val="none" w:sz="0" w:space="0" w:color="auto"/>
            <w:right w:val="none" w:sz="0" w:space="0" w:color="auto"/>
          </w:divBdr>
        </w:div>
        <w:div w:id="101538768">
          <w:marLeft w:val="0"/>
          <w:marRight w:val="0"/>
          <w:marTop w:val="180"/>
          <w:marBottom w:val="240"/>
          <w:divBdr>
            <w:top w:val="none" w:sz="0" w:space="0" w:color="auto"/>
            <w:left w:val="none" w:sz="0" w:space="0" w:color="auto"/>
            <w:bottom w:val="none" w:sz="0" w:space="0" w:color="auto"/>
            <w:right w:val="none" w:sz="0" w:space="0" w:color="auto"/>
          </w:divBdr>
        </w:div>
        <w:div w:id="1775052447">
          <w:marLeft w:val="0"/>
          <w:marRight w:val="0"/>
          <w:marTop w:val="360"/>
          <w:marBottom w:val="180"/>
          <w:divBdr>
            <w:top w:val="none" w:sz="0" w:space="0" w:color="auto"/>
            <w:left w:val="none" w:sz="0" w:space="0" w:color="auto"/>
            <w:bottom w:val="none" w:sz="0" w:space="0" w:color="auto"/>
            <w:right w:val="none" w:sz="0" w:space="0" w:color="auto"/>
          </w:divBdr>
        </w:div>
        <w:div w:id="1046376117">
          <w:marLeft w:val="0"/>
          <w:marRight w:val="0"/>
          <w:marTop w:val="180"/>
          <w:marBottom w:val="240"/>
          <w:divBdr>
            <w:top w:val="none" w:sz="0" w:space="0" w:color="auto"/>
            <w:left w:val="none" w:sz="0" w:space="0" w:color="auto"/>
            <w:bottom w:val="none" w:sz="0" w:space="0" w:color="auto"/>
            <w:right w:val="none" w:sz="0" w:space="0" w:color="auto"/>
          </w:divBdr>
        </w:div>
        <w:div w:id="2100783478">
          <w:marLeft w:val="0"/>
          <w:marRight w:val="0"/>
          <w:marTop w:val="360"/>
          <w:marBottom w:val="180"/>
          <w:divBdr>
            <w:top w:val="none" w:sz="0" w:space="0" w:color="auto"/>
            <w:left w:val="none" w:sz="0" w:space="0" w:color="auto"/>
            <w:bottom w:val="none" w:sz="0" w:space="0" w:color="auto"/>
            <w:right w:val="none" w:sz="0" w:space="0" w:color="auto"/>
          </w:divBdr>
        </w:div>
        <w:div w:id="1895235989">
          <w:marLeft w:val="0"/>
          <w:marRight w:val="0"/>
          <w:marTop w:val="180"/>
          <w:marBottom w:val="240"/>
          <w:divBdr>
            <w:top w:val="none" w:sz="0" w:space="0" w:color="auto"/>
            <w:left w:val="none" w:sz="0" w:space="0" w:color="auto"/>
            <w:bottom w:val="none" w:sz="0" w:space="0" w:color="auto"/>
            <w:right w:val="none" w:sz="0" w:space="0" w:color="auto"/>
          </w:divBdr>
        </w:div>
        <w:div w:id="1295718350">
          <w:marLeft w:val="0"/>
          <w:marRight w:val="0"/>
          <w:marTop w:val="360"/>
          <w:marBottom w:val="180"/>
          <w:divBdr>
            <w:top w:val="none" w:sz="0" w:space="0" w:color="auto"/>
            <w:left w:val="none" w:sz="0" w:space="0" w:color="auto"/>
            <w:bottom w:val="none" w:sz="0" w:space="0" w:color="auto"/>
            <w:right w:val="none" w:sz="0" w:space="0" w:color="auto"/>
          </w:divBdr>
        </w:div>
        <w:div w:id="1385905898">
          <w:marLeft w:val="0"/>
          <w:marRight w:val="0"/>
          <w:marTop w:val="180"/>
          <w:marBottom w:val="240"/>
          <w:divBdr>
            <w:top w:val="none" w:sz="0" w:space="0" w:color="auto"/>
            <w:left w:val="none" w:sz="0" w:space="0" w:color="auto"/>
            <w:bottom w:val="none" w:sz="0" w:space="0" w:color="auto"/>
            <w:right w:val="none" w:sz="0" w:space="0" w:color="auto"/>
          </w:divBdr>
        </w:div>
        <w:div w:id="847718105">
          <w:marLeft w:val="0"/>
          <w:marRight w:val="0"/>
          <w:marTop w:val="360"/>
          <w:marBottom w:val="180"/>
          <w:divBdr>
            <w:top w:val="none" w:sz="0" w:space="0" w:color="auto"/>
            <w:left w:val="none" w:sz="0" w:space="0" w:color="auto"/>
            <w:bottom w:val="none" w:sz="0" w:space="0" w:color="auto"/>
            <w:right w:val="none" w:sz="0" w:space="0" w:color="auto"/>
          </w:divBdr>
        </w:div>
        <w:div w:id="1754661879">
          <w:marLeft w:val="0"/>
          <w:marRight w:val="0"/>
          <w:marTop w:val="180"/>
          <w:marBottom w:val="240"/>
          <w:divBdr>
            <w:top w:val="none" w:sz="0" w:space="0" w:color="auto"/>
            <w:left w:val="none" w:sz="0" w:space="0" w:color="auto"/>
            <w:bottom w:val="none" w:sz="0" w:space="0" w:color="auto"/>
            <w:right w:val="none" w:sz="0" w:space="0" w:color="auto"/>
          </w:divBdr>
        </w:div>
        <w:div w:id="2064866490">
          <w:marLeft w:val="0"/>
          <w:marRight w:val="0"/>
          <w:marTop w:val="360"/>
          <w:marBottom w:val="180"/>
          <w:divBdr>
            <w:top w:val="none" w:sz="0" w:space="0" w:color="auto"/>
            <w:left w:val="none" w:sz="0" w:space="0" w:color="auto"/>
            <w:bottom w:val="none" w:sz="0" w:space="0" w:color="auto"/>
            <w:right w:val="none" w:sz="0" w:space="0" w:color="auto"/>
          </w:divBdr>
        </w:div>
        <w:div w:id="187619342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67AD-7333-4C93-8F37-DD4DAA94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1353</Words>
  <Characters>7443</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Willers</dc:creator>
  <cp:keywords/>
  <dc:description/>
  <cp:lastModifiedBy>Vincent Willers</cp:lastModifiedBy>
  <cp:revision>3</cp:revision>
  <dcterms:created xsi:type="dcterms:W3CDTF">2026-06-30T11:03:00Z</dcterms:created>
  <dcterms:modified xsi:type="dcterms:W3CDTF">2026-06-30T11:48:00Z</dcterms:modified>
</cp:coreProperties>
</file>